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F19AA" w14:textId="446C3E04" w:rsidR="008F58E0" w:rsidRDefault="008F58E0" w:rsidP="6A82B8FA">
      <w:pPr>
        <w:rPr>
          <w:rFonts w:ascii="Century Gothic" w:hAnsi="Century Gothic"/>
          <w:b/>
          <w:bCs/>
          <w:sz w:val="28"/>
          <w:szCs w:val="28"/>
          <w:lang w:val="el-GR"/>
        </w:rPr>
      </w:pPr>
      <w:r>
        <w:rPr>
          <w:rFonts w:ascii="Century Gothic" w:hAnsi="Century Gothic"/>
          <w:b/>
          <w:bCs/>
          <w:sz w:val="28"/>
          <w:szCs w:val="28"/>
          <w:lang w:val="el-GR"/>
        </w:rPr>
        <w:t>ΔΕΛΤΙΟ ΤΥΠΟΥ</w:t>
      </w:r>
    </w:p>
    <w:p w14:paraId="0ABC3228" w14:textId="0793FDB7" w:rsidR="00D74526" w:rsidRPr="00D74526" w:rsidRDefault="00C568F7" w:rsidP="6A82B8FA">
      <w:pPr>
        <w:rPr>
          <w:rFonts w:ascii="Century Gothic" w:hAnsi="Century Gothic"/>
          <w:b/>
          <w:bCs/>
          <w:sz w:val="28"/>
          <w:szCs w:val="28"/>
          <w:lang w:val="el-GR"/>
        </w:rPr>
      </w:pPr>
      <w:r w:rsidRPr="00D74526">
        <w:rPr>
          <w:rFonts w:ascii="Century Gothic" w:hAnsi="Century Gothic"/>
          <w:b/>
          <w:bCs/>
          <w:sz w:val="28"/>
          <w:szCs w:val="28"/>
          <w:lang w:val="el-GR"/>
        </w:rPr>
        <w:t xml:space="preserve">Ολοκληρώθηκε το ευρωπαϊκό έργο </w:t>
      </w:r>
      <w:r w:rsidRPr="00D74526">
        <w:rPr>
          <w:rFonts w:ascii="Century Gothic" w:hAnsi="Century Gothic"/>
          <w:b/>
          <w:bCs/>
          <w:sz w:val="28"/>
          <w:szCs w:val="28"/>
        </w:rPr>
        <w:t>EntrePubl</w:t>
      </w:r>
      <w:r w:rsidRPr="00D74526">
        <w:rPr>
          <w:rFonts w:ascii="Century Gothic" w:hAnsi="Century Gothic"/>
          <w:b/>
          <w:bCs/>
          <w:sz w:val="28"/>
          <w:szCs w:val="28"/>
          <w:lang w:val="el-GR"/>
        </w:rPr>
        <w:t xml:space="preserve"> με κεντρικό άξονα την ενδυνάμωση της δημόσιας διοίκησης</w:t>
      </w:r>
    </w:p>
    <w:p w14:paraId="081AE0A6" w14:textId="78F2E40E" w:rsidR="00C568F7" w:rsidRPr="00D74526" w:rsidRDefault="00C568F7" w:rsidP="00C568F7">
      <w:pPr>
        <w:rPr>
          <w:rFonts w:ascii="Century Gothic" w:hAnsi="Century Gothic"/>
          <w:lang w:val="el-GR"/>
        </w:rPr>
      </w:pPr>
      <w:r w:rsidRPr="00D74526">
        <w:rPr>
          <w:rFonts w:ascii="Century Gothic" w:hAnsi="Century Gothic"/>
          <w:lang w:val="el-GR"/>
        </w:rPr>
        <w:t xml:space="preserve">Την Τρίτη 29 Απριλίου 2025 πραγματοποιήθηκε στην Αθήνα η τελική εκδήλωση του ευρωπαϊκού έργου </w:t>
      </w:r>
      <w:hyperlink r:id="rId10" w:history="1">
        <w:r w:rsidRPr="00D74526">
          <w:rPr>
            <w:rStyle w:val="Hyperlink"/>
            <w:rFonts w:ascii="Century Gothic" w:hAnsi="Century Gothic"/>
            <w:lang w:val="el-GR"/>
          </w:rPr>
          <w:t>EntrePubl (Entrepreneurial skills in the Public sector: a digital approach)</w:t>
        </w:r>
      </w:hyperlink>
      <w:r w:rsidRPr="00D74526">
        <w:rPr>
          <w:rFonts w:ascii="Century Gothic" w:hAnsi="Century Gothic"/>
          <w:lang w:val="el-GR"/>
        </w:rPr>
        <w:t xml:space="preserve">, που συνδιοργανώθηκε από την </w:t>
      </w:r>
      <w:hyperlink r:id="rId11" w:history="1">
        <w:r w:rsidRPr="00D74526">
          <w:rPr>
            <w:rStyle w:val="Hyperlink"/>
            <w:rFonts w:ascii="Century Gothic" w:hAnsi="Century Gothic"/>
            <w:lang w:val="el-GR"/>
          </w:rPr>
          <w:t>Ακαδημία Επιχειρηματικότητας</w:t>
        </w:r>
      </w:hyperlink>
      <w:r w:rsidRPr="00D74526">
        <w:rPr>
          <w:rFonts w:ascii="Century Gothic" w:hAnsi="Century Gothic"/>
          <w:lang w:val="el-GR"/>
        </w:rPr>
        <w:t xml:space="preserve"> και την </w:t>
      </w:r>
      <w:hyperlink r:id="rId12" w:history="1">
        <w:r w:rsidRPr="00D74526">
          <w:rPr>
            <w:rStyle w:val="Hyperlink"/>
            <w:rFonts w:ascii="Century Gothic" w:hAnsi="Century Gothic"/>
            <w:lang w:val="el-GR"/>
          </w:rPr>
          <w:t>Crowdpolicy</w:t>
        </w:r>
      </w:hyperlink>
      <w:r w:rsidRPr="00D74526">
        <w:rPr>
          <w:rFonts w:ascii="Century Gothic" w:hAnsi="Century Gothic"/>
          <w:lang w:val="el-GR"/>
        </w:rPr>
        <w:t>.</w:t>
      </w:r>
    </w:p>
    <w:p w14:paraId="63477207" w14:textId="77777777" w:rsidR="00D74526" w:rsidRDefault="00C568F7" w:rsidP="00C568F7">
      <w:pPr>
        <w:rPr>
          <w:rFonts w:ascii="Century Gothic" w:hAnsi="Century Gothic"/>
          <w:lang w:val="el-GR"/>
        </w:rPr>
      </w:pPr>
      <w:r w:rsidRPr="00D74526">
        <w:rPr>
          <w:rFonts w:ascii="Century Gothic" w:hAnsi="Century Gothic"/>
          <w:lang w:val="el-GR"/>
        </w:rPr>
        <w:t xml:space="preserve">Το έργο EntrePubl, που υλοποιήθηκε την περίοδο 2022–2025 στο πλαίσιο του προγράμματος ERASMUS+, είχε ως βασικό στόχο την ενίσχυση των ψηφιακών και επιχειρηματικών δεξιοτήτων στους κόλπους της δημόσιας διοίκησης. </w:t>
      </w:r>
    </w:p>
    <w:p w14:paraId="61B81ED5" w14:textId="5B947E86" w:rsidR="00C568F7" w:rsidRPr="00D74526" w:rsidRDefault="00C568F7" w:rsidP="00C568F7">
      <w:pPr>
        <w:rPr>
          <w:rFonts w:ascii="Century Gothic" w:hAnsi="Century Gothic"/>
          <w:lang w:val="el-GR"/>
        </w:rPr>
      </w:pPr>
      <w:r w:rsidRPr="00D74526">
        <w:rPr>
          <w:rFonts w:ascii="Century Gothic" w:hAnsi="Century Gothic"/>
          <w:lang w:val="el-GR"/>
        </w:rPr>
        <w:t xml:space="preserve">Μέσα από μια σειρά εκπαιδευτικών δράσεων και εργαλείων σε έξι ευρωπαϊκές χώρες, εκπαιδεύτηκαν περισσότεροι από </w:t>
      </w:r>
      <w:r w:rsidR="00D74526">
        <w:rPr>
          <w:rFonts w:ascii="Century Gothic" w:hAnsi="Century Gothic"/>
          <w:lang w:val="el-GR"/>
        </w:rPr>
        <w:t>1.100</w:t>
      </w:r>
      <w:r w:rsidRPr="00D74526">
        <w:rPr>
          <w:rFonts w:ascii="Century Gothic" w:hAnsi="Century Gothic"/>
          <w:lang w:val="el-GR"/>
        </w:rPr>
        <w:t xml:space="preserve"> δημόσιοι υπάλληλοι, με πάνω από 500 συμμετέχοντες από την Ελλάδα. Το έργο ανέπτυξε επίσης μια </w:t>
      </w:r>
      <w:hyperlink r:id="rId13" w:history="1">
        <w:r w:rsidRPr="00D74526">
          <w:rPr>
            <w:rStyle w:val="Hyperlink"/>
            <w:rFonts w:ascii="Century Gothic" w:hAnsi="Century Gothic"/>
            <w:lang w:val="el-GR"/>
          </w:rPr>
          <w:t>διαδραστική, ασύγχρονη εκπαιδευτική πλατφόρμα</w:t>
        </w:r>
      </w:hyperlink>
      <w:r w:rsidR="00D74526">
        <w:rPr>
          <w:rFonts w:ascii="Century Gothic" w:hAnsi="Century Gothic"/>
          <w:lang w:val="el-GR"/>
        </w:rPr>
        <w:t xml:space="preserve"> σε 6 γλώσσες (και στα ελληνικά)</w:t>
      </w:r>
      <w:r w:rsidRPr="00D74526">
        <w:rPr>
          <w:rFonts w:ascii="Century Gothic" w:hAnsi="Century Gothic"/>
          <w:lang w:val="el-GR"/>
        </w:rPr>
        <w:t>, προσβάσιμη σε υπαλλήλους και στελέχη του δημόσιου τομέα που επιθυμούν να αναπτύξουν σύγχρονες δεξιότητες με δυνατότητα πιστοποίησης.</w:t>
      </w:r>
    </w:p>
    <w:p w14:paraId="2CE70B81" w14:textId="25AB16C2" w:rsidR="00C568F7" w:rsidRPr="00D74526" w:rsidRDefault="00C568F7" w:rsidP="00C568F7">
      <w:pPr>
        <w:rPr>
          <w:rFonts w:ascii="Century Gothic" w:hAnsi="Century Gothic"/>
          <w:lang w:val="el-GR"/>
        </w:rPr>
      </w:pPr>
      <w:r w:rsidRPr="00D74526">
        <w:rPr>
          <w:rFonts w:ascii="Century Gothic" w:hAnsi="Century Gothic"/>
          <w:lang w:val="el-GR"/>
        </w:rPr>
        <w:t>Η τελική εκδήλωση, με περίπου 50 συμμετέχοντες δια ζώσης και 30 διαδικτυακά, αποτέλεσε την ολοκλήρωση ενός κύκλου τριών ετών, που ξεκίνησε και τελείωσε με σημείο αναφοράς τους ίδιους τους δημόσιους υπαλλήλους – τα πρόσωπα που βρίσκονται στο επίκεντρο κάθε προσπάθειας αλλαγής στον δημόσιο τομέα.</w:t>
      </w:r>
    </w:p>
    <w:p w14:paraId="73AA7728" w14:textId="36B11AD2" w:rsidR="00C568F7" w:rsidRPr="00D74526" w:rsidRDefault="00C568F7" w:rsidP="00C568F7">
      <w:pPr>
        <w:rPr>
          <w:rFonts w:ascii="Century Gothic" w:hAnsi="Century Gothic"/>
          <w:lang w:val="el-GR"/>
        </w:rPr>
      </w:pPr>
      <w:r w:rsidRPr="00D74526">
        <w:rPr>
          <w:rFonts w:ascii="Century Gothic" w:hAnsi="Century Gothic"/>
          <w:lang w:val="el-GR"/>
        </w:rPr>
        <w:t>Η εκδήλωση ξεκίνησε με χαιρετισμούς από τον Ανδρέα Στεφανίδη (Πρόεδρο της Ακαδημίας Επιχειρηματικότητας) και τον Γιώργο Καραμανώλη (CTO της Crowdpolicy), οι οποίοι αναφέρθηκαν στη σημασία της ενδυνάμωσης του ανθρώπινου δυναμικού της διοίκησης μέσω της εκπαίδευσης και της καινοτομίας.</w:t>
      </w:r>
    </w:p>
    <w:p w14:paraId="1CA1983A" w14:textId="6261989D" w:rsidR="00C568F7" w:rsidRPr="00D74526" w:rsidRDefault="00C568F7" w:rsidP="00C568F7">
      <w:pPr>
        <w:rPr>
          <w:rFonts w:ascii="Century Gothic" w:hAnsi="Century Gothic"/>
          <w:lang w:val="el-GR"/>
        </w:rPr>
      </w:pPr>
      <w:r w:rsidRPr="00D74526">
        <w:rPr>
          <w:rFonts w:ascii="Century Gothic" w:hAnsi="Century Gothic"/>
          <w:lang w:val="el-GR"/>
        </w:rPr>
        <w:t xml:space="preserve">Ακολούθησε παρουσίαση των βασικών αποτελεσμάτων του έργου, καθώς και της </w:t>
      </w:r>
      <w:r w:rsidR="00D74526">
        <w:rPr>
          <w:rFonts w:ascii="Century Gothic" w:hAnsi="Century Gothic"/>
          <w:lang w:val="el-GR"/>
        </w:rPr>
        <w:t>Σύστασης Π</w:t>
      </w:r>
      <w:r w:rsidRPr="00D74526">
        <w:rPr>
          <w:rFonts w:ascii="Century Gothic" w:hAnsi="Century Gothic"/>
          <w:lang w:val="el-GR"/>
        </w:rPr>
        <w:t>ολιτικής που διαμορφώθηκε από την κοινοπραξία των εταίρων. Η πρόταση αυτή βασίστηκε σε δεδομένα, εκπαιδευτικές εμπειρίες και ουσιαστική ανατροφοδότηση από υπαλλήλους και στελέχη του δημόσιου τομέα.</w:t>
      </w:r>
    </w:p>
    <w:p w14:paraId="0F890A44" w14:textId="77777777" w:rsidR="00C568F7" w:rsidRPr="00C568F7" w:rsidRDefault="00C568F7" w:rsidP="00C568F7">
      <w:pPr>
        <w:rPr>
          <w:rFonts w:ascii="Century Gothic" w:hAnsi="Century Gothic"/>
          <w:lang w:val="el-GR"/>
        </w:rPr>
      </w:pPr>
      <w:r w:rsidRPr="00C568F7">
        <w:rPr>
          <w:rFonts w:ascii="Century Gothic" w:hAnsi="Century Gothic"/>
          <w:lang w:val="el-GR"/>
        </w:rPr>
        <w:t xml:space="preserve">Η πολιτική πρόταση του έργου αποτέλεσε και τον βασικό άξονα της </w:t>
      </w:r>
      <w:r w:rsidRPr="00C568F7">
        <w:rPr>
          <w:rFonts w:ascii="Century Gothic" w:hAnsi="Century Gothic"/>
          <w:b/>
          <w:bCs/>
          <w:lang w:val="el-GR"/>
        </w:rPr>
        <w:t>τελικής συζήτησης πάνελ</w:t>
      </w:r>
      <w:r w:rsidRPr="00C568F7">
        <w:rPr>
          <w:rFonts w:ascii="Century Gothic" w:hAnsi="Century Gothic"/>
          <w:lang w:val="el-GR"/>
        </w:rPr>
        <w:t xml:space="preserve">, η οποία σχεδιάστηκε ώστε να εμβαθύνει στους τρεις βασικούς θεματικούς πυλώνες της: </w:t>
      </w:r>
      <w:r w:rsidRPr="00C568F7">
        <w:rPr>
          <w:rFonts w:ascii="Century Gothic" w:hAnsi="Century Gothic"/>
          <w:b/>
          <w:bCs/>
          <w:lang w:val="el-GR"/>
        </w:rPr>
        <w:t>καινοτομία</w:t>
      </w:r>
      <w:r w:rsidRPr="00C568F7">
        <w:rPr>
          <w:rFonts w:ascii="Century Gothic" w:hAnsi="Century Gothic"/>
          <w:lang w:val="el-GR"/>
        </w:rPr>
        <w:t xml:space="preserve">, </w:t>
      </w:r>
      <w:r w:rsidRPr="00C568F7">
        <w:rPr>
          <w:rFonts w:ascii="Century Gothic" w:hAnsi="Century Gothic"/>
          <w:b/>
          <w:bCs/>
          <w:lang w:val="el-GR"/>
        </w:rPr>
        <w:t>εκπαίδευση</w:t>
      </w:r>
      <w:r w:rsidRPr="00C568F7">
        <w:rPr>
          <w:rFonts w:ascii="Century Gothic" w:hAnsi="Century Gothic"/>
          <w:lang w:val="el-GR"/>
        </w:rPr>
        <w:t xml:space="preserve"> και </w:t>
      </w:r>
      <w:r w:rsidRPr="00C568F7">
        <w:rPr>
          <w:rFonts w:ascii="Century Gothic" w:hAnsi="Century Gothic"/>
          <w:b/>
          <w:bCs/>
          <w:lang w:val="el-GR"/>
        </w:rPr>
        <w:t>συνεργασία</w:t>
      </w:r>
      <w:r w:rsidRPr="00C568F7">
        <w:rPr>
          <w:rFonts w:ascii="Century Gothic" w:hAnsi="Century Gothic"/>
          <w:lang w:val="el-GR"/>
        </w:rPr>
        <w:t xml:space="preserve"> στο δημόσιο τομέα. Κάθε μία από τις τρεις ομιλήτριες εκπροσώπησε και ανέπτυξε ένα από αυτά τα κρίσιμα σημεία, μεταφέροντας πρακτικά </w:t>
      </w:r>
      <w:r w:rsidRPr="00C568F7">
        <w:rPr>
          <w:rFonts w:ascii="Century Gothic" w:hAnsi="Century Gothic"/>
          <w:lang w:val="el-GR"/>
        </w:rPr>
        <w:lastRenderedPageBreak/>
        <w:t>παραδείγματα και εμπειρίες από την καθημερινή λειτουργία του φορέα στον οποίο ανήκει και από την προσωπική της επαγγελματική πορεία στη δημόσια διοίκηση.</w:t>
      </w:r>
    </w:p>
    <w:p w14:paraId="74BC4763" w14:textId="0CB0883D" w:rsidR="00D74526" w:rsidRPr="00D74526" w:rsidRDefault="00D74526" w:rsidP="008F58E0">
      <w:pPr>
        <w:rPr>
          <w:rFonts w:ascii="Century Gothic" w:hAnsi="Century Gothic"/>
          <w:lang w:val="el-GR"/>
        </w:rPr>
      </w:pPr>
      <w:r w:rsidRPr="00D74526">
        <w:rPr>
          <w:rFonts w:ascii="Century Gothic" w:hAnsi="Century Gothic"/>
          <w:lang w:val="el-GR"/>
        </w:rPr>
        <w:t xml:space="preserve">Η </w:t>
      </w:r>
      <w:r w:rsidRPr="00D74526">
        <w:rPr>
          <w:rFonts w:ascii="Century Gothic" w:hAnsi="Century Gothic"/>
          <w:b/>
          <w:bCs/>
          <w:lang w:val="el-GR"/>
        </w:rPr>
        <w:t>Ζαφειρία Σύρμου</w:t>
      </w:r>
      <w:r w:rsidRPr="00D74526">
        <w:rPr>
          <w:rFonts w:ascii="Century Gothic" w:hAnsi="Century Gothic"/>
          <w:lang w:val="el-GR"/>
        </w:rPr>
        <w:t xml:space="preserve"> (</w:t>
      </w:r>
      <w:r w:rsidR="008F58E0" w:rsidRPr="008F58E0">
        <w:rPr>
          <w:rFonts w:ascii="Century Gothic" w:hAnsi="Century Gothic"/>
          <w:lang w:val="el-GR"/>
        </w:rPr>
        <w:t>Εκπαιδεύτρια Προγράμματος, Στέλεχος</w:t>
      </w:r>
      <w:r w:rsidR="008F58E0">
        <w:rPr>
          <w:rFonts w:ascii="Century Gothic" w:hAnsi="Century Gothic"/>
          <w:lang w:val="el-GR"/>
        </w:rPr>
        <w:t xml:space="preserve"> </w:t>
      </w:r>
      <w:r w:rsidR="008F58E0" w:rsidRPr="008F58E0">
        <w:rPr>
          <w:rFonts w:ascii="Century Gothic" w:hAnsi="Century Gothic"/>
          <w:lang w:val="el-GR"/>
        </w:rPr>
        <w:t>Αποκεντρωμένης Διοίκησης Μακεδονίας Θράκης</w:t>
      </w:r>
      <w:r w:rsidR="008F58E0">
        <w:rPr>
          <w:rFonts w:ascii="Century Gothic" w:hAnsi="Century Gothic"/>
          <w:lang w:val="el-GR"/>
        </w:rPr>
        <w:t xml:space="preserve">) </w:t>
      </w:r>
      <w:r w:rsidRPr="00D74526">
        <w:rPr>
          <w:rFonts w:ascii="Century Gothic" w:hAnsi="Century Gothic"/>
          <w:lang w:val="el-GR"/>
        </w:rPr>
        <w:t>μίλησε για την ενίσχυση της καινοτομίας στην καθημερινή λειτουργία των δημόσιων οργανισμών, με έμφαση σε πρακτικές συνεργασίας και διάχυσης της γνώσης.</w:t>
      </w:r>
    </w:p>
    <w:p w14:paraId="760BA55C" w14:textId="40EEBF0C" w:rsidR="00D74526" w:rsidRPr="00D74526" w:rsidRDefault="00D74526" w:rsidP="008F58E0">
      <w:pPr>
        <w:rPr>
          <w:rFonts w:ascii="Century Gothic" w:hAnsi="Century Gothic"/>
          <w:lang w:val="el-GR"/>
        </w:rPr>
      </w:pPr>
      <w:r w:rsidRPr="00D74526">
        <w:rPr>
          <w:rFonts w:ascii="Century Gothic" w:hAnsi="Century Gothic"/>
          <w:lang w:val="el-GR"/>
        </w:rPr>
        <w:t xml:space="preserve">Η </w:t>
      </w:r>
      <w:r w:rsidRPr="00D74526">
        <w:rPr>
          <w:rFonts w:ascii="Century Gothic" w:hAnsi="Century Gothic"/>
          <w:b/>
          <w:bCs/>
          <w:lang w:val="el-GR"/>
        </w:rPr>
        <w:t>Δήμητρα Τόμπρου</w:t>
      </w:r>
      <w:r w:rsidRPr="00D74526">
        <w:rPr>
          <w:rFonts w:ascii="Century Gothic" w:hAnsi="Century Gothic"/>
          <w:lang w:val="el-GR"/>
        </w:rPr>
        <w:t xml:space="preserve"> (</w:t>
      </w:r>
      <w:r w:rsidR="008F58E0" w:rsidRPr="008F58E0">
        <w:rPr>
          <w:rFonts w:ascii="Century Gothic" w:hAnsi="Century Gothic"/>
          <w:lang w:val="el-GR"/>
        </w:rPr>
        <w:t>Επιστημονικά Υπεύθυνη για το σχεδιασμό και</w:t>
      </w:r>
      <w:r w:rsidR="008F58E0">
        <w:rPr>
          <w:rFonts w:ascii="Century Gothic" w:hAnsi="Century Gothic"/>
          <w:lang w:val="el-GR"/>
        </w:rPr>
        <w:t xml:space="preserve"> </w:t>
      </w:r>
      <w:r w:rsidR="008F58E0" w:rsidRPr="008F58E0">
        <w:rPr>
          <w:rFonts w:ascii="Century Gothic" w:hAnsi="Century Gothic"/>
          <w:lang w:val="el-GR"/>
        </w:rPr>
        <w:t>υλοποίηση των επιμορφωτικών προγραμμάτων ΙΝΕΠ/ΕΚΔΔΑ</w:t>
      </w:r>
      <w:r w:rsidRPr="00D74526">
        <w:rPr>
          <w:rFonts w:ascii="Century Gothic" w:hAnsi="Century Gothic"/>
          <w:lang w:val="el-GR"/>
        </w:rPr>
        <w:t>) ανέδειξε την ανάγκη για συνεχή εκπαίδευση και εξειδικευμένα προγράμματα ηγεσίας στον δημόσιο τομέα, φέρνοντας παραδείγματα από τον σχεδιασμό και την εφαρμογή επιμορφωτικών δράσεων.</w:t>
      </w:r>
    </w:p>
    <w:p w14:paraId="37D3B920" w14:textId="4C39A905" w:rsidR="00D74526" w:rsidRPr="00D74526" w:rsidRDefault="00D74526" w:rsidP="008F58E0">
      <w:pPr>
        <w:rPr>
          <w:rFonts w:ascii="Century Gothic" w:hAnsi="Century Gothic"/>
          <w:lang w:val="el-GR"/>
        </w:rPr>
      </w:pPr>
      <w:r w:rsidRPr="00D74526">
        <w:rPr>
          <w:rFonts w:ascii="Century Gothic" w:hAnsi="Century Gothic"/>
          <w:lang w:val="el-GR"/>
        </w:rPr>
        <w:t xml:space="preserve">Η </w:t>
      </w:r>
      <w:r w:rsidRPr="00D74526">
        <w:rPr>
          <w:rFonts w:ascii="Century Gothic" w:hAnsi="Century Gothic"/>
          <w:b/>
          <w:bCs/>
          <w:lang w:val="el-GR"/>
        </w:rPr>
        <w:t>Σοφία Αθανασοπούλου</w:t>
      </w:r>
      <w:r w:rsidRPr="00D74526">
        <w:rPr>
          <w:rFonts w:ascii="Century Gothic" w:hAnsi="Century Gothic"/>
          <w:lang w:val="el-GR"/>
        </w:rPr>
        <w:t xml:space="preserve"> (</w:t>
      </w:r>
      <w:r w:rsidR="008F58E0" w:rsidRPr="008F58E0">
        <w:rPr>
          <w:rFonts w:ascii="Century Gothic" w:hAnsi="Century Gothic"/>
          <w:lang w:val="el-GR"/>
        </w:rPr>
        <w:t>Στέλεχος Ανάλυσης Πολιτικής</w:t>
      </w:r>
      <w:r w:rsidR="008F58E0">
        <w:rPr>
          <w:rFonts w:ascii="Century Gothic" w:hAnsi="Century Gothic"/>
          <w:lang w:val="el-GR"/>
        </w:rPr>
        <w:t xml:space="preserve"> </w:t>
      </w:r>
      <w:r w:rsidR="008F58E0" w:rsidRPr="008F58E0">
        <w:rPr>
          <w:rFonts w:ascii="Century Gothic" w:hAnsi="Century Gothic"/>
          <w:lang w:val="el-GR"/>
        </w:rPr>
        <w:t>Καινοτομίας Δημόσιου Τομέα, Δ/νση Στρατηγικού Σχεδιασμού και</w:t>
      </w:r>
      <w:r w:rsidR="008F58E0">
        <w:rPr>
          <w:rFonts w:ascii="Century Gothic" w:hAnsi="Century Gothic"/>
          <w:lang w:val="el-GR"/>
        </w:rPr>
        <w:t xml:space="preserve"> </w:t>
      </w:r>
      <w:r w:rsidR="008F58E0" w:rsidRPr="008F58E0">
        <w:rPr>
          <w:rFonts w:ascii="Century Gothic" w:hAnsi="Century Gothic"/>
          <w:lang w:val="el-GR"/>
        </w:rPr>
        <w:t>Καινοτομίας, Γενική Γραμματεία Δημόσιας Διοίκησης</w:t>
      </w:r>
      <w:r w:rsidRPr="00D74526">
        <w:rPr>
          <w:rFonts w:ascii="Century Gothic" w:hAnsi="Century Gothic"/>
          <w:lang w:val="el-GR"/>
        </w:rPr>
        <w:t>) αναφέρθηκε στις προκλήσεις και τις δυνατότητες της διατομεακής συνεργασίας, επισημαίνοντας τη σημασία του συντονισμού και της καλλιέργειας εμπιστοσύνης μεταξύ φορέων.</w:t>
      </w:r>
    </w:p>
    <w:p w14:paraId="5071E075" w14:textId="0A67B53B" w:rsidR="00D74526" w:rsidRPr="00D74526" w:rsidRDefault="00D74526" w:rsidP="008F58E0">
      <w:pPr>
        <w:rPr>
          <w:rFonts w:ascii="Century Gothic" w:hAnsi="Century Gothic"/>
          <w:lang w:val="el-GR"/>
        </w:rPr>
      </w:pPr>
      <w:r w:rsidRPr="00D74526">
        <w:rPr>
          <w:rFonts w:ascii="Century Gothic" w:hAnsi="Century Gothic"/>
          <w:lang w:val="el-GR"/>
        </w:rPr>
        <w:t xml:space="preserve">Τη συζήτηση συντόνισε ο </w:t>
      </w:r>
      <w:r w:rsidRPr="00D74526">
        <w:rPr>
          <w:rFonts w:ascii="Century Gothic" w:hAnsi="Century Gothic"/>
          <w:b/>
          <w:bCs/>
          <w:lang w:val="el-GR"/>
        </w:rPr>
        <w:t>Δημήτρης Πανόπουλος</w:t>
      </w:r>
      <w:r w:rsidRPr="00D74526">
        <w:rPr>
          <w:rFonts w:ascii="Century Gothic" w:hAnsi="Century Gothic"/>
          <w:lang w:val="el-GR"/>
        </w:rPr>
        <w:t xml:space="preserve"> (</w:t>
      </w:r>
      <w:r w:rsidR="008F58E0" w:rsidRPr="008F58E0">
        <w:rPr>
          <w:rFonts w:ascii="Century Gothic" w:hAnsi="Century Gothic"/>
          <w:lang w:val="el-GR"/>
        </w:rPr>
        <w:t xml:space="preserve">Υπουργείο Εργασίας </w:t>
      </w:r>
      <w:r w:rsidR="008F58E0">
        <w:rPr>
          <w:rFonts w:ascii="Century Gothic" w:hAnsi="Century Gothic"/>
          <w:lang w:val="el-GR"/>
        </w:rPr>
        <w:t>–</w:t>
      </w:r>
      <w:r w:rsidR="008F58E0" w:rsidRPr="008F58E0">
        <w:rPr>
          <w:rFonts w:ascii="Century Gothic" w:hAnsi="Century Gothic"/>
          <w:lang w:val="el-GR"/>
        </w:rPr>
        <w:t xml:space="preserve"> </w:t>
      </w:r>
      <w:r w:rsidR="008F58E0">
        <w:rPr>
          <w:rFonts w:ascii="Century Gothic" w:hAnsi="Century Gothic"/>
          <w:lang w:val="en-US"/>
        </w:rPr>
        <w:t>E</w:t>
      </w:r>
      <w:r w:rsidR="008F58E0" w:rsidRPr="008F58E0">
        <w:rPr>
          <w:rFonts w:ascii="Century Gothic" w:hAnsi="Century Gothic"/>
          <w:lang w:val="el-GR"/>
        </w:rPr>
        <w:t>πικεφαλής</w:t>
      </w:r>
      <w:r w:rsidR="008F58E0" w:rsidRPr="008F58E0">
        <w:rPr>
          <w:rFonts w:ascii="Century Gothic" w:hAnsi="Century Gothic"/>
          <w:lang w:val="el-GR"/>
        </w:rPr>
        <w:t xml:space="preserve"> </w:t>
      </w:r>
      <w:r w:rsidR="008F58E0">
        <w:rPr>
          <w:rFonts w:ascii="Century Gothic" w:hAnsi="Century Gothic"/>
          <w:lang w:val="el-GR"/>
        </w:rPr>
        <w:t>Μ</w:t>
      </w:r>
      <w:r w:rsidR="008F58E0" w:rsidRPr="008F58E0">
        <w:rPr>
          <w:rFonts w:ascii="Century Gothic" w:hAnsi="Century Gothic"/>
          <w:lang w:val="el-GR"/>
        </w:rPr>
        <w:t>ονάδας έρευνας και τεκμηρίωσης πολιτικών της αγορας εργασίας -</w:t>
      </w:r>
      <w:r w:rsidR="008F58E0">
        <w:rPr>
          <w:rFonts w:ascii="Century Gothic" w:hAnsi="Century Gothic"/>
          <w:lang w:val="el-GR"/>
        </w:rPr>
        <w:t xml:space="preserve"> </w:t>
      </w:r>
      <w:r w:rsidR="008F58E0" w:rsidRPr="008F58E0">
        <w:rPr>
          <w:rFonts w:ascii="Century Gothic" w:hAnsi="Century Gothic"/>
          <w:lang w:val="el-GR"/>
        </w:rPr>
        <w:t>τεχνικός συντονιστης της δράσης REBRAIN GREECE</w:t>
      </w:r>
      <w:r w:rsidR="008F58E0">
        <w:rPr>
          <w:rFonts w:ascii="Century Gothic" w:hAnsi="Century Gothic"/>
          <w:lang w:val="el-GR"/>
        </w:rPr>
        <w:t xml:space="preserve">) </w:t>
      </w:r>
      <w:r w:rsidRPr="00D74526">
        <w:rPr>
          <w:rFonts w:ascii="Century Gothic" w:hAnsi="Century Gothic"/>
          <w:lang w:val="el-GR"/>
        </w:rPr>
        <w:t>ο οποίος υπογράμμισε τη σημασία της συμμετοχής των ίδιων των στελεχών της δημόσιας διοίκησης στον σχεδιασμό πολιτικής.</w:t>
      </w:r>
    </w:p>
    <w:p w14:paraId="394076D1" w14:textId="356C4E59" w:rsidR="00D74526" w:rsidRPr="00D74526" w:rsidRDefault="00D74526" w:rsidP="00D74526">
      <w:pPr>
        <w:rPr>
          <w:rFonts w:ascii="Century Gothic" w:hAnsi="Century Gothic"/>
          <w:lang w:val="el-GR"/>
        </w:rPr>
      </w:pPr>
      <w:r w:rsidRPr="00D74526">
        <w:rPr>
          <w:rFonts w:ascii="Century Gothic" w:hAnsi="Century Gothic"/>
          <w:lang w:val="el-GR"/>
        </w:rPr>
        <w:t>Οι διοργανωτές ευχαριστούν θερμά τους ομιλητές, καθώς και τους οργανισμούς που εκπροσώπησαν —το Υπουργείο Εργασίας, την Αποκεντρωμένη Διοίκηση Μακεδονίας-Θράκης, το ΙΝΕΠ/ΕΚΔΔΑ και τη Γενική Γραμματεία Δημόσιας Διοίκησης του Υπουργείου Εσωτερικών— για τη συμβολή τους στον δημόσιο διάλογο και την ουσιαστική ανταλλαγή καλών πρακτικών.</w:t>
      </w:r>
    </w:p>
    <w:p w14:paraId="2454586E" w14:textId="791B106E" w:rsidR="00C568F7" w:rsidRPr="00D74526" w:rsidRDefault="00D74526" w:rsidP="00D74526">
      <w:pPr>
        <w:rPr>
          <w:rFonts w:ascii="Century Gothic" w:hAnsi="Century Gothic"/>
          <w:lang w:val="el-GR"/>
        </w:rPr>
      </w:pPr>
      <w:r w:rsidRPr="00D74526">
        <w:rPr>
          <w:rFonts w:ascii="Century Gothic" w:hAnsi="Century Gothic"/>
          <w:lang w:val="el-GR"/>
        </w:rPr>
        <w:t xml:space="preserve">Παρότι το EntrePubl ολοκλήρωσε επισήμως τον κύκλο του, η παρακαταθήκη του παραμένει ενεργή. Για εκδήλωση ενδιαφέροντος σε μελλοντικές δράσεις, συνεργασίες ή εκπαιδευτικά προγράμματα με επίκεντρο τη δημόσια διοίκηση, μπορείτε να επικοινωνήσετε στο </w:t>
      </w:r>
      <w:r w:rsidRPr="00D74526">
        <w:rPr>
          <w:rFonts w:ascii="Segoe UI Emoji" w:hAnsi="Segoe UI Emoji" w:cs="Segoe UI Emoji"/>
          <w:lang w:val="el-GR"/>
        </w:rPr>
        <w:t>📧</w:t>
      </w:r>
      <w:r w:rsidRPr="00D74526">
        <w:rPr>
          <w:rFonts w:ascii="Century Gothic" w:hAnsi="Century Gothic"/>
          <w:lang w:val="el-GR"/>
        </w:rPr>
        <w:t xml:space="preserve"> info@akep.eu.</w:t>
      </w:r>
    </w:p>
    <w:sectPr w:rsidR="00C568F7" w:rsidRPr="00D74526" w:rsidSect="00B75BF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39E8" w14:textId="77777777" w:rsidR="00F74992" w:rsidRDefault="00F74992" w:rsidP="00BD2D0E">
      <w:r>
        <w:separator/>
      </w:r>
    </w:p>
  </w:endnote>
  <w:endnote w:type="continuationSeparator" w:id="0">
    <w:p w14:paraId="0DA58974" w14:textId="77777777" w:rsidR="00F74992" w:rsidRDefault="00F74992" w:rsidP="00BD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9AAC" w14:textId="77777777" w:rsidR="00BF6BE3" w:rsidRDefault="00BF6BE3" w:rsidP="00BF6BE3">
    <w:pPr>
      <w:jc w:val="center"/>
    </w:pPr>
  </w:p>
  <w:p w14:paraId="282C9F96" w14:textId="5ABA9E78" w:rsidR="00BF6BE3" w:rsidRDefault="00BF6BE3" w:rsidP="00BF6BE3">
    <w:pPr>
      <w:jc w:val="center"/>
    </w:pPr>
    <w:r>
      <w:t xml:space="preserve">  </w:t>
    </w:r>
    <w:r>
      <w:rPr>
        <w:noProof/>
      </w:rPr>
      <w:drawing>
        <wp:inline distT="0" distB="0" distL="0" distR="0" wp14:anchorId="108C6F5B" wp14:editId="127A4B57">
          <wp:extent cx="825933" cy="530814"/>
          <wp:effectExtent l="0" t="0" r="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6549" cy="537637"/>
                  </a:xfrm>
                  <a:prstGeom prst="rect">
                    <a:avLst/>
                  </a:prstGeom>
                </pic:spPr>
              </pic:pic>
            </a:graphicData>
          </a:graphic>
        </wp:inline>
      </w:drawing>
    </w:r>
    <w:r>
      <w:t xml:space="preserve">         </w:t>
    </w:r>
    <w:r>
      <w:rPr>
        <w:noProof/>
      </w:rPr>
      <w:drawing>
        <wp:inline distT="0" distB="0" distL="0" distR="0" wp14:anchorId="57E62CE2" wp14:editId="3325CC0B">
          <wp:extent cx="927101" cy="450673"/>
          <wp:effectExtent l="0" t="0" r="6350" b="698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35760" cy="454882"/>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A006" w14:textId="77777777" w:rsidR="00F74992" w:rsidRDefault="00F74992" w:rsidP="00BD2D0E">
      <w:r>
        <w:separator/>
      </w:r>
    </w:p>
  </w:footnote>
  <w:footnote w:type="continuationSeparator" w:id="0">
    <w:p w14:paraId="6284B658" w14:textId="77777777" w:rsidR="00F74992" w:rsidRDefault="00F74992" w:rsidP="00BD2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CC37" w14:textId="77777777" w:rsidR="00B75BF6" w:rsidRDefault="00BF6BE3" w:rsidP="00BF6BE3">
    <w:pPr>
      <w:pStyle w:val="Header"/>
      <w:jc w:val="both"/>
    </w:pPr>
    <w:r>
      <w:rPr>
        <w:noProof/>
      </w:rPr>
      <w:drawing>
        <wp:anchor distT="0" distB="0" distL="114300" distR="114300" simplePos="0" relativeHeight="251658240" behindDoc="0" locked="0" layoutInCell="1" allowOverlap="1" wp14:anchorId="3789631D" wp14:editId="2CAC11C6">
          <wp:simplePos x="0" y="0"/>
          <wp:positionH relativeFrom="column">
            <wp:posOffset>5273040</wp:posOffset>
          </wp:positionH>
          <wp:positionV relativeFrom="paragraph">
            <wp:posOffset>-242570</wp:posOffset>
          </wp:positionV>
          <wp:extent cx="959485" cy="70040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9485" cy="700405"/>
                  </a:xfrm>
                  <a:prstGeom prst="rect">
                    <a:avLst/>
                  </a:prstGeom>
                </pic:spPr>
              </pic:pic>
            </a:graphicData>
          </a:graphic>
          <wp14:sizeRelH relativeFrom="page">
            <wp14:pctWidth>0</wp14:pctWidth>
          </wp14:sizeRelH>
          <wp14:sizeRelV relativeFrom="page">
            <wp14:pctHeight>0</wp14:pctHeight>
          </wp14:sizeRelV>
        </wp:anchor>
      </w:drawing>
    </w:r>
    <w:r w:rsidRPr="00814A0F">
      <w:rPr>
        <w:noProof/>
      </w:rPr>
      <w:drawing>
        <wp:inline distT="0" distB="0" distL="0" distR="0" wp14:anchorId="6032A248" wp14:editId="11889DB1">
          <wp:extent cx="2059818" cy="432000"/>
          <wp:effectExtent l="0" t="0" r="0" b="635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9818" cy="432000"/>
                  </a:xfrm>
                  <a:prstGeom prst="rect">
                    <a:avLst/>
                  </a:prstGeom>
                </pic:spPr>
              </pic:pic>
            </a:graphicData>
          </a:graphic>
        </wp:inline>
      </w:drawing>
    </w:r>
  </w:p>
  <w:p w14:paraId="62280AC2" w14:textId="77777777" w:rsidR="00B75BF6" w:rsidRDefault="00B75BF6" w:rsidP="008E077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D2"/>
    <w:rsid w:val="00001B41"/>
    <w:rsid w:val="000924C4"/>
    <w:rsid w:val="000A5B07"/>
    <w:rsid w:val="000D59D3"/>
    <w:rsid w:val="000D7F73"/>
    <w:rsid w:val="001034E1"/>
    <w:rsid w:val="001318AC"/>
    <w:rsid w:val="0014638F"/>
    <w:rsid w:val="001A2F89"/>
    <w:rsid w:val="001A4466"/>
    <w:rsid w:val="001B1FF9"/>
    <w:rsid w:val="001B6F33"/>
    <w:rsid w:val="001C4DFA"/>
    <w:rsid w:val="001D1759"/>
    <w:rsid w:val="00223916"/>
    <w:rsid w:val="00223FB7"/>
    <w:rsid w:val="002404E7"/>
    <w:rsid w:val="002525A2"/>
    <w:rsid w:val="00330E1B"/>
    <w:rsid w:val="00337F0A"/>
    <w:rsid w:val="0035363B"/>
    <w:rsid w:val="003D6B15"/>
    <w:rsid w:val="003E5B4C"/>
    <w:rsid w:val="00400684"/>
    <w:rsid w:val="004546CC"/>
    <w:rsid w:val="004806D2"/>
    <w:rsid w:val="004D09CD"/>
    <w:rsid w:val="004F7F8D"/>
    <w:rsid w:val="00521B86"/>
    <w:rsid w:val="005657DE"/>
    <w:rsid w:val="005809D1"/>
    <w:rsid w:val="0059104F"/>
    <w:rsid w:val="005F1566"/>
    <w:rsid w:val="006776C2"/>
    <w:rsid w:val="006A24CB"/>
    <w:rsid w:val="006E0DA6"/>
    <w:rsid w:val="006F7872"/>
    <w:rsid w:val="007003C1"/>
    <w:rsid w:val="00710957"/>
    <w:rsid w:val="0073311B"/>
    <w:rsid w:val="00755BAC"/>
    <w:rsid w:val="0076216C"/>
    <w:rsid w:val="007C02FD"/>
    <w:rsid w:val="007C5D7A"/>
    <w:rsid w:val="0080714D"/>
    <w:rsid w:val="00814A0F"/>
    <w:rsid w:val="00890AB9"/>
    <w:rsid w:val="008C2FCD"/>
    <w:rsid w:val="008E0771"/>
    <w:rsid w:val="008F58E0"/>
    <w:rsid w:val="00916F13"/>
    <w:rsid w:val="00927DD5"/>
    <w:rsid w:val="00937E4E"/>
    <w:rsid w:val="00952FBA"/>
    <w:rsid w:val="00954BE8"/>
    <w:rsid w:val="00965418"/>
    <w:rsid w:val="009D0C79"/>
    <w:rsid w:val="009D26D7"/>
    <w:rsid w:val="009E7CB0"/>
    <w:rsid w:val="009F5999"/>
    <w:rsid w:val="009F7ECF"/>
    <w:rsid w:val="00A15047"/>
    <w:rsid w:val="00A5335A"/>
    <w:rsid w:val="00A75AB3"/>
    <w:rsid w:val="00A77410"/>
    <w:rsid w:val="00A96C5C"/>
    <w:rsid w:val="00AC5873"/>
    <w:rsid w:val="00AD005F"/>
    <w:rsid w:val="00AE656C"/>
    <w:rsid w:val="00B11C30"/>
    <w:rsid w:val="00B72C9F"/>
    <w:rsid w:val="00B75BF6"/>
    <w:rsid w:val="00BB510B"/>
    <w:rsid w:val="00BD2D0E"/>
    <w:rsid w:val="00BE76CA"/>
    <w:rsid w:val="00BF6BE3"/>
    <w:rsid w:val="00C03CAB"/>
    <w:rsid w:val="00C12987"/>
    <w:rsid w:val="00C16024"/>
    <w:rsid w:val="00C568F7"/>
    <w:rsid w:val="00C733D8"/>
    <w:rsid w:val="00CB110C"/>
    <w:rsid w:val="00D20230"/>
    <w:rsid w:val="00D74526"/>
    <w:rsid w:val="00D95189"/>
    <w:rsid w:val="00DB48CE"/>
    <w:rsid w:val="00DE3D33"/>
    <w:rsid w:val="00E4246C"/>
    <w:rsid w:val="00ED6231"/>
    <w:rsid w:val="00F74992"/>
    <w:rsid w:val="00F87928"/>
    <w:rsid w:val="00F97DE9"/>
    <w:rsid w:val="00FB42A6"/>
    <w:rsid w:val="00FC6C5E"/>
    <w:rsid w:val="02330841"/>
    <w:rsid w:val="02C89AFA"/>
    <w:rsid w:val="037139FC"/>
    <w:rsid w:val="048F0AFD"/>
    <w:rsid w:val="07F764D9"/>
    <w:rsid w:val="0937DC7E"/>
    <w:rsid w:val="0BDF008F"/>
    <w:rsid w:val="0BF5D2A0"/>
    <w:rsid w:val="0FA71E02"/>
    <w:rsid w:val="1142EE63"/>
    <w:rsid w:val="11DF1DCF"/>
    <w:rsid w:val="1819B671"/>
    <w:rsid w:val="1A289ADE"/>
    <w:rsid w:val="1E5121A9"/>
    <w:rsid w:val="20E6CCB0"/>
    <w:rsid w:val="25346C1F"/>
    <w:rsid w:val="27071DE6"/>
    <w:rsid w:val="297D88DD"/>
    <w:rsid w:val="2CB5299F"/>
    <w:rsid w:val="2DCD05FE"/>
    <w:rsid w:val="2E3DC5E0"/>
    <w:rsid w:val="2E513820"/>
    <w:rsid w:val="300D4293"/>
    <w:rsid w:val="385EA7F8"/>
    <w:rsid w:val="3D506863"/>
    <w:rsid w:val="3E671DCA"/>
    <w:rsid w:val="43427C73"/>
    <w:rsid w:val="4471D554"/>
    <w:rsid w:val="4B3465FB"/>
    <w:rsid w:val="4E852F1A"/>
    <w:rsid w:val="522AF42C"/>
    <w:rsid w:val="5B52774B"/>
    <w:rsid w:val="5CE65A26"/>
    <w:rsid w:val="6239B251"/>
    <w:rsid w:val="64F95991"/>
    <w:rsid w:val="6A82B8FA"/>
    <w:rsid w:val="6B58C14D"/>
    <w:rsid w:val="6C48DAE2"/>
    <w:rsid w:val="6CB4A7C8"/>
    <w:rsid w:val="6F72E8E7"/>
    <w:rsid w:val="75EA17F1"/>
    <w:rsid w:val="78894E7C"/>
    <w:rsid w:val="7B78242E"/>
    <w:rsid w:val="7EE0FF43"/>
    <w:rsid w:val="7EF59EB1"/>
    <w:rsid w:val="7F90F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877F9"/>
  <w15:chartTrackingRefBased/>
  <w15:docId w15:val="{0F4C4F1D-12BF-4740-9BEB-5AB00F64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BE3"/>
    <w:rPr>
      <w:sz w:val="24"/>
      <w:szCs w:val="24"/>
    </w:rPr>
  </w:style>
  <w:style w:type="paragraph" w:styleId="Heading1">
    <w:name w:val="heading 1"/>
    <w:basedOn w:val="Normal"/>
    <w:next w:val="Normal"/>
    <w:link w:val="Heading1Char"/>
    <w:uiPriority w:val="9"/>
    <w:qFormat/>
    <w:rsid w:val="00E4246C"/>
    <w:pPr>
      <w:keepNext/>
      <w:keepLines/>
      <w:spacing w:before="24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E4246C"/>
    <w:pPr>
      <w:keepNext/>
      <w:keepLines/>
      <w:spacing w:before="120" w:after="12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E4246C"/>
    <w:pPr>
      <w:keepNext/>
      <w:keepLines/>
      <w:spacing w:before="120" w:after="12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E4246C"/>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E4246C"/>
    <w:pPr>
      <w:keepNext/>
      <w:keepLines/>
      <w:spacing w:before="40" w:after="0"/>
      <w:outlineLvl w:val="4"/>
    </w:pPr>
    <w:rPr>
      <w:rFonts w:asciiTheme="majorHAnsi" w:eastAsiaTheme="majorEastAsia" w:hAnsiTheme="majorHAnsi" w:cstheme="majorBidi"/>
      <w:noProof/>
      <w:lang w:val="fr-FR"/>
    </w:rPr>
  </w:style>
  <w:style w:type="paragraph" w:styleId="Heading6">
    <w:name w:val="heading 6"/>
    <w:basedOn w:val="Normal"/>
    <w:next w:val="Normal"/>
    <w:link w:val="Heading6Char"/>
    <w:uiPriority w:val="9"/>
    <w:semiHidden/>
    <w:unhideWhenUsed/>
    <w:qFormat/>
    <w:rsid w:val="00E4246C"/>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6D2"/>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basedOn w:val="Normal"/>
    <w:uiPriority w:val="8"/>
    <w:qFormat/>
    <w:rsid w:val="004806D2"/>
    <w:pPr>
      <w:spacing w:after="0" w:line="240" w:lineRule="auto"/>
      <w:jc w:val="both"/>
    </w:pPr>
    <w:rPr>
      <w:rFonts w:cs="Calibri"/>
      <w:b/>
      <w:bCs/>
      <w:color w:val="FFFFFF" w:themeColor="background1"/>
      <w:sz w:val="20"/>
    </w:rPr>
  </w:style>
  <w:style w:type="paragraph" w:styleId="Header">
    <w:name w:val="header"/>
    <w:basedOn w:val="Normal"/>
    <w:link w:val="HeaderChar"/>
    <w:uiPriority w:val="99"/>
    <w:unhideWhenUsed/>
    <w:rsid w:val="00480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6D2"/>
  </w:style>
  <w:style w:type="paragraph" w:styleId="Footer">
    <w:name w:val="footer"/>
    <w:basedOn w:val="Normal"/>
    <w:link w:val="FooterChar"/>
    <w:uiPriority w:val="99"/>
    <w:unhideWhenUsed/>
    <w:rsid w:val="00480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6D2"/>
  </w:style>
  <w:style w:type="character" w:styleId="PlaceholderText">
    <w:name w:val="Placeholder Text"/>
    <w:basedOn w:val="DefaultParagraphFont"/>
    <w:uiPriority w:val="99"/>
    <w:semiHidden/>
    <w:rsid w:val="004806D2"/>
    <w:rPr>
      <w:color w:val="808080"/>
    </w:rPr>
  </w:style>
  <w:style w:type="character" w:customStyle="1" w:styleId="Heading1Char">
    <w:name w:val="Heading 1 Char"/>
    <w:basedOn w:val="DefaultParagraphFont"/>
    <w:link w:val="Heading1"/>
    <w:uiPriority w:val="9"/>
    <w:rsid w:val="00E4246C"/>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7CB0"/>
    <w:pPr>
      <w:spacing w:before="240" w:after="24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9E7CB0"/>
    <w:rPr>
      <w:rFonts w:asciiTheme="majorHAnsi" w:eastAsiaTheme="majorEastAsia" w:hAnsiTheme="majorHAnsi" w:cstheme="majorBidi"/>
      <w:spacing w:val="-10"/>
      <w:kern w:val="28"/>
      <w:sz w:val="72"/>
      <w:szCs w:val="72"/>
    </w:rPr>
  </w:style>
  <w:style w:type="character" w:customStyle="1" w:styleId="Heading2Char">
    <w:name w:val="Heading 2 Char"/>
    <w:basedOn w:val="DefaultParagraphFont"/>
    <w:link w:val="Heading2"/>
    <w:uiPriority w:val="9"/>
    <w:rsid w:val="00E4246C"/>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rsid w:val="00E4246C"/>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5657DE"/>
    <w:pPr>
      <w:outlineLvl w:val="9"/>
    </w:pPr>
    <w:rPr>
      <w:lang w:eastAsia="en-GB"/>
    </w:rPr>
  </w:style>
  <w:style w:type="paragraph" w:styleId="TOC1">
    <w:name w:val="toc 1"/>
    <w:basedOn w:val="Normal"/>
    <w:next w:val="Normal"/>
    <w:autoRedefine/>
    <w:uiPriority w:val="39"/>
    <w:unhideWhenUsed/>
    <w:rsid w:val="00DE3D33"/>
    <w:pPr>
      <w:spacing w:after="100"/>
    </w:pPr>
  </w:style>
  <w:style w:type="paragraph" w:styleId="TOC2">
    <w:name w:val="toc 2"/>
    <w:basedOn w:val="Normal"/>
    <w:next w:val="Normal"/>
    <w:autoRedefine/>
    <w:uiPriority w:val="39"/>
    <w:unhideWhenUsed/>
    <w:rsid w:val="00DE3D33"/>
    <w:pPr>
      <w:spacing w:after="100"/>
      <w:ind w:left="220"/>
    </w:pPr>
  </w:style>
  <w:style w:type="paragraph" w:styleId="TOC3">
    <w:name w:val="toc 3"/>
    <w:basedOn w:val="Normal"/>
    <w:next w:val="Normal"/>
    <w:autoRedefine/>
    <w:uiPriority w:val="39"/>
    <w:unhideWhenUsed/>
    <w:rsid w:val="00DE3D33"/>
    <w:pPr>
      <w:spacing w:after="100"/>
      <w:ind w:left="440"/>
    </w:pPr>
  </w:style>
  <w:style w:type="character" w:styleId="Hyperlink">
    <w:name w:val="Hyperlink"/>
    <w:basedOn w:val="DefaultParagraphFont"/>
    <w:uiPriority w:val="99"/>
    <w:unhideWhenUsed/>
    <w:rsid w:val="003D6B15"/>
    <w:rPr>
      <w:color w:val="486D72" w:themeColor="accent3" w:themeShade="BF"/>
      <w:u w:val="single"/>
    </w:rPr>
  </w:style>
  <w:style w:type="character" w:customStyle="1" w:styleId="Heading4Char">
    <w:name w:val="Heading 4 Char"/>
    <w:basedOn w:val="DefaultParagraphFont"/>
    <w:link w:val="Heading4"/>
    <w:uiPriority w:val="9"/>
    <w:rsid w:val="00E4246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E4246C"/>
    <w:rPr>
      <w:rFonts w:asciiTheme="majorHAnsi" w:eastAsiaTheme="majorEastAsia" w:hAnsiTheme="majorHAnsi" w:cstheme="majorBidi"/>
      <w:noProof/>
      <w:sz w:val="24"/>
      <w:szCs w:val="24"/>
      <w:lang w:val="fr-FR"/>
    </w:rPr>
  </w:style>
  <w:style w:type="character" w:styleId="UnresolvedMention">
    <w:name w:val="Unresolved Mention"/>
    <w:basedOn w:val="DefaultParagraphFont"/>
    <w:uiPriority w:val="99"/>
    <w:semiHidden/>
    <w:unhideWhenUsed/>
    <w:rsid w:val="009D26D7"/>
    <w:rPr>
      <w:color w:val="605E5C"/>
      <w:shd w:val="clear" w:color="auto" w:fill="E1DFDD"/>
    </w:rPr>
  </w:style>
  <w:style w:type="character" w:styleId="FollowedHyperlink">
    <w:name w:val="FollowedHyperlink"/>
    <w:basedOn w:val="DefaultParagraphFont"/>
    <w:uiPriority w:val="99"/>
    <w:semiHidden/>
    <w:unhideWhenUsed/>
    <w:rsid w:val="009D26D7"/>
    <w:rPr>
      <w:color w:val="C28154" w:themeColor="followedHyperlink"/>
      <w:u w:val="single"/>
    </w:rPr>
  </w:style>
  <w:style w:type="character" w:customStyle="1" w:styleId="Heading6Char">
    <w:name w:val="Heading 6 Char"/>
    <w:basedOn w:val="DefaultParagraphFont"/>
    <w:link w:val="Heading6"/>
    <w:uiPriority w:val="9"/>
    <w:semiHidden/>
    <w:rsid w:val="00E4246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42831">
      <w:bodyDiv w:val="1"/>
      <w:marLeft w:val="0"/>
      <w:marRight w:val="0"/>
      <w:marTop w:val="0"/>
      <w:marBottom w:val="0"/>
      <w:divBdr>
        <w:top w:val="none" w:sz="0" w:space="0" w:color="auto"/>
        <w:left w:val="none" w:sz="0" w:space="0" w:color="auto"/>
        <w:bottom w:val="none" w:sz="0" w:space="0" w:color="auto"/>
        <w:right w:val="none" w:sz="0" w:space="0" w:color="auto"/>
      </w:divBdr>
    </w:div>
    <w:div w:id="491608917">
      <w:bodyDiv w:val="1"/>
      <w:marLeft w:val="0"/>
      <w:marRight w:val="0"/>
      <w:marTop w:val="0"/>
      <w:marBottom w:val="0"/>
      <w:divBdr>
        <w:top w:val="none" w:sz="0" w:space="0" w:color="auto"/>
        <w:left w:val="none" w:sz="0" w:space="0" w:color="auto"/>
        <w:bottom w:val="none" w:sz="0" w:space="0" w:color="auto"/>
        <w:right w:val="none" w:sz="0" w:space="0" w:color="auto"/>
      </w:divBdr>
    </w:div>
    <w:div w:id="663124525">
      <w:bodyDiv w:val="1"/>
      <w:marLeft w:val="0"/>
      <w:marRight w:val="0"/>
      <w:marTop w:val="0"/>
      <w:marBottom w:val="0"/>
      <w:divBdr>
        <w:top w:val="none" w:sz="0" w:space="0" w:color="auto"/>
        <w:left w:val="none" w:sz="0" w:space="0" w:color="auto"/>
        <w:bottom w:val="none" w:sz="0" w:space="0" w:color="auto"/>
        <w:right w:val="none" w:sz="0" w:space="0" w:color="auto"/>
      </w:divBdr>
    </w:div>
    <w:div w:id="1266231889">
      <w:bodyDiv w:val="1"/>
      <w:marLeft w:val="0"/>
      <w:marRight w:val="0"/>
      <w:marTop w:val="0"/>
      <w:marBottom w:val="0"/>
      <w:divBdr>
        <w:top w:val="none" w:sz="0" w:space="0" w:color="auto"/>
        <w:left w:val="none" w:sz="0" w:space="0" w:color="auto"/>
        <w:bottom w:val="none" w:sz="0" w:space="0" w:color="auto"/>
        <w:right w:val="none" w:sz="0" w:space="0" w:color="auto"/>
      </w:divBdr>
    </w:div>
    <w:div w:id="1280839387">
      <w:bodyDiv w:val="1"/>
      <w:marLeft w:val="0"/>
      <w:marRight w:val="0"/>
      <w:marTop w:val="0"/>
      <w:marBottom w:val="0"/>
      <w:divBdr>
        <w:top w:val="none" w:sz="0" w:space="0" w:color="auto"/>
        <w:left w:val="none" w:sz="0" w:space="0" w:color="auto"/>
        <w:bottom w:val="none" w:sz="0" w:space="0" w:color="auto"/>
        <w:right w:val="none" w:sz="0" w:space="0" w:color="auto"/>
      </w:divBdr>
    </w:div>
    <w:div w:id="20062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yofentrepreneurship.org/course/entrepubl-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owdpolicy.com/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kep.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ntrepubl.e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trePubl">
      <a:dk1>
        <a:sysClr val="windowText" lastClr="000000"/>
      </a:dk1>
      <a:lt1>
        <a:sysClr val="window" lastClr="FFFFFF"/>
      </a:lt1>
      <a:dk2>
        <a:srgbClr val="7F7F7F"/>
      </a:dk2>
      <a:lt2>
        <a:srgbClr val="F2F2F2"/>
      </a:lt2>
      <a:accent1>
        <a:srgbClr val="7CA869"/>
      </a:accent1>
      <a:accent2>
        <a:srgbClr val="C28154"/>
      </a:accent2>
      <a:accent3>
        <a:srgbClr val="609299"/>
      </a:accent3>
      <a:accent4>
        <a:srgbClr val="CADCC2"/>
      </a:accent4>
      <a:accent5>
        <a:srgbClr val="E6CBB8"/>
      </a:accent5>
      <a:accent6>
        <a:srgbClr val="C4D7DA"/>
      </a:accent6>
      <a:hlink>
        <a:srgbClr val="609299"/>
      </a:hlink>
      <a:folHlink>
        <a:srgbClr val="C281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C7EF21BFEF043995A0076DAC6AC0D" ma:contentTypeVersion="16" ma:contentTypeDescription="Create a new document." ma:contentTypeScope="" ma:versionID="d9d8bcc135b5c37ba5f20d39cc16d35a">
  <xsd:schema xmlns:xsd="http://www.w3.org/2001/XMLSchema" xmlns:xs="http://www.w3.org/2001/XMLSchema" xmlns:p="http://schemas.microsoft.com/office/2006/metadata/properties" xmlns:ns2="6ff863e2-50f9-4e2f-a267-9331c1baebff" xmlns:ns3="4b99807d-51f4-47cd-9e14-ec3de4a08596" targetNamespace="http://schemas.microsoft.com/office/2006/metadata/properties" ma:root="true" ma:fieldsID="93ec599eaf6e6f0b8b5822ad98b4718d" ns2:_="" ns3:_="">
    <xsd:import namespace="6ff863e2-50f9-4e2f-a267-9331c1baebff"/>
    <xsd:import namespace="4b99807d-51f4-47cd-9e14-ec3de4a085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863e2-50f9-4e2f-a267-9331c1ba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dc7076-5b20-412f-9790-c3dabd1718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9807d-51f4-47cd-9e14-ec3de4a085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282a2b-03bb-4fa7-a89f-8ee72b9f3fe9}" ma:internalName="TaxCatchAll" ma:showField="CatchAllData" ma:web="4b99807d-51f4-47cd-9e14-ec3de4a08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863e2-50f9-4e2f-a267-9331c1baebff">
      <Terms xmlns="http://schemas.microsoft.com/office/infopath/2007/PartnerControls"/>
    </lcf76f155ced4ddcb4097134ff3c332f>
    <TaxCatchAll xmlns="4b99807d-51f4-47cd-9e14-ec3de4a085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CB5A5-AB75-4FA0-8800-903859084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863e2-50f9-4e2f-a267-9331c1baebff"/>
    <ds:schemaRef ds:uri="4b99807d-51f4-47cd-9e14-ec3de4a08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09F1A-A604-4DD8-9993-DF71A4D06C20}">
  <ds:schemaRefs>
    <ds:schemaRef ds:uri="http://schemas.openxmlformats.org/officeDocument/2006/bibliography"/>
  </ds:schemaRefs>
</ds:datastoreItem>
</file>

<file path=customXml/itemProps3.xml><?xml version="1.0" encoding="utf-8"?>
<ds:datastoreItem xmlns:ds="http://schemas.openxmlformats.org/officeDocument/2006/customXml" ds:itemID="{C8DC8D16-8CB7-4E9F-A7D8-9B06968C86C5}">
  <ds:schemaRefs>
    <ds:schemaRef ds:uri="http://schemas.microsoft.com/office/2006/metadata/properties"/>
    <ds:schemaRef ds:uri="http://schemas.microsoft.com/office/infopath/2007/PartnerControls"/>
    <ds:schemaRef ds:uri="6ff863e2-50f9-4e2f-a267-9331c1baebff"/>
    <ds:schemaRef ds:uri="4b99807d-51f4-47cd-9e14-ec3de4a08596"/>
  </ds:schemaRefs>
</ds:datastoreItem>
</file>

<file path=customXml/itemProps4.xml><?xml version="1.0" encoding="utf-8"?>
<ds:datastoreItem xmlns:ds="http://schemas.openxmlformats.org/officeDocument/2006/customXml" ds:itemID="{615DFAB9-67DE-40FA-9091-84DAE8A6F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EntrePubl</vt:lpstr>
    </vt:vector>
  </TitlesOfParts>
  <Company>Entrepreneurial Skills in the Public Sector 2022-1-BE02-KA220-VET-000089555</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EntrePubl</dc:title>
  <dc:subject/>
  <dc:creator>User</dc:creator>
  <cp:keywords>EntrePubl</cp:keywords>
  <dc:description/>
  <cp:lastModifiedBy>User</cp:lastModifiedBy>
  <cp:revision>2</cp:revision>
  <dcterms:created xsi:type="dcterms:W3CDTF">2025-04-30T14:26:00Z</dcterms:created>
  <dcterms:modified xsi:type="dcterms:W3CDTF">2025-05-02T06:38:00Z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0x0101007C0C7EF21BFEF043995A0076DAC6AC0D</vt:lpwstr>
  </property>
  <property fmtid="{D5CDD505-2E9C-101B-9397-08002B2CF9AE}" pid="3" name="MediaServiceImageTags">
    <vt:lpwstr/>
  </property>
</Properties>
</file>